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80" w:after="28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18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к Учетной политике Муниципального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города Троицка </w:t>
      </w:r>
    </w:p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280" w:after="280"/>
        <w:jc w:val="center"/>
        <w:rPr>
          <w:rFonts w:cs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Номера журналов операций</w:t>
      </w:r>
    </w:p>
    <w:tbl>
      <w:tblPr>
        <w:tblW w:w="9600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1664"/>
        <w:gridCol w:w="7935"/>
      </w:tblGrid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Номер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журнала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Журнал операций по счету «Касса» (ф. 0504071)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Журнал операций с безналичными денежными средствами (ф. 0504071)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Журнал операций расчетов с подотчетными лицами (ф. 0504071)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Журнал операций расчетов с поставщиками и подрядчиками (ф. 0504071)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Журнал операций расчетов с дебиторами по доходам (ф. 0504071)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Журнал операций расчетов по оплате труда, денежному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довольствию и стипендиям (ф. 0504071)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Журнал операций по выбытию и перемещению нефинансовых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активов (ф. 0504071)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Журнал по прочим операциям (ф. 0504071)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Журнал операций по исправлению ошибок прошлых лет (ф. 0504071)</w:t>
            </w:r>
          </w:p>
        </w:tc>
      </w:tr>
      <w:tr>
        <w:trPr/>
        <w:tc>
          <w:tcPr>
            <w:tcW w:w="166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79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</w:tr>
    </w:tbl>
    <w:sectPr>
      <w:type w:val="nextPage"/>
      <w:pgSz w:w="11906" w:h="16838"/>
      <w:pgMar w:left="1440" w:right="821" w:gutter="0" w:header="0" w:top="39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3">
    <w:name w:val="Колонтитул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Style14">
    <w:name w:val="Header"/>
    <w:basedOn w:val="Style1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LibreOffice/7.5.0.3$Windows_X86_64 LibreOffice_project/c21113d003cd3efa8c53188764377a8272d9d6de</Application>
  <AppVersion>15.0000</AppVersion>
  <Pages>1</Pages>
  <Words>110</Words>
  <Characters>679</Characters>
  <CharactersWithSpaces>767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/>
  <dc:description>Подготовлено экспертами Актион-МЦФЭР</dc:description>
  <dc:language>ru-RU</dc:language>
  <cp:lastModifiedBy/>
  <cp:lastPrinted>2024-01-26T16:59:52Z</cp:lastPrinted>
  <dcterms:modified xsi:type="dcterms:W3CDTF">2024-01-26T16:59:56Z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